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D4" w:rsidRPr="003F64D4" w:rsidRDefault="003F64D4" w:rsidP="003F64D4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3F64D4" w:rsidRPr="003F64D4" w:rsidRDefault="003F64D4" w:rsidP="003F64D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3F64D4" w:rsidRPr="003F64D4" w:rsidRDefault="003F64D4" w:rsidP="003F64D4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7BD0" w:rsidRDefault="003F64D4" w:rsidP="003F64D4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4">
        <w:rPr>
          <w:rFonts w:ascii="Times New Roman" w:hAnsi="Times New Roman" w:cs="Times New Roman"/>
          <w:b/>
          <w:sz w:val="28"/>
          <w:szCs w:val="28"/>
        </w:rPr>
        <w:t>от 16.01.2018 года      № 04</w:t>
      </w:r>
    </w:p>
    <w:p w:rsidR="003F64D4" w:rsidRPr="003F64D4" w:rsidRDefault="003F64D4" w:rsidP="003F64D4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AE17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E1756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</w:t>
      </w: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756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AE1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«Принятие на учет граждан в качестве нуждающихся в жилых помещениях».</w:t>
      </w:r>
    </w:p>
    <w:p w:rsidR="005B7BD0" w:rsidRPr="00AE1756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6">
        <w:rPr>
          <w:rFonts w:ascii="Times New Roman" w:hAnsi="Times New Roman" w:cs="Times New Roman"/>
          <w:sz w:val="28"/>
          <w:szCs w:val="28"/>
        </w:rPr>
        <w:t xml:space="preserve">2.  </w:t>
      </w:r>
      <w:r w:rsidRPr="00AE1756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Администрацией сельского поселения</w:t>
      </w:r>
      <w:r w:rsidR="00AE1756" w:rsidRPr="00AE1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756" w:rsidRPr="00AE1756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AE1756" w:rsidRPr="00AE1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75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AE175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="00AE1756" w:rsidRPr="00AE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56" w:rsidRPr="00AE1756">
        <w:rPr>
          <w:rFonts w:ascii="Times New Roman" w:hAnsi="Times New Roman" w:cs="Times New Roman"/>
          <w:sz w:val="28"/>
          <w:szCs w:val="28"/>
        </w:rPr>
        <w:t>Старомусинский</w:t>
      </w:r>
      <w:proofErr w:type="spellEnd"/>
      <w:r w:rsidRPr="00AE175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="00AE1756" w:rsidRPr="00AE1756">
        <w:rPr>
          <w:rFonts w:ascii="Times New Roman" w:hAnsi="Times New Roman" w:cs="Times New Roman"/>
          <w:sz w:val="28"/>
          <w:szCs w:val="28"/>
        </w:rPr>
        <w:t xml:space="preserve"> 20.06.2012</w:t>
      </w:r>
      <w:r w:rsidRPr="00AE17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1756" w:rsidRPr="00AE1756">
        <w:rPr>
          <w:rFonts w:ascii="Times New Roman" w:hAnsi="Times New Roman" w:cs="Times New Roman"/>
          <w:sz w:val="28"/>
          <w:szCs w:val="28"/>
        </w:rPr>
        <w:t xml:space="preserve"> 19 </w:t>
      </w:r>
      <w:r w:rsidRPr="00AE1756">
        <w:rPr>
          <w:rFonts w:ascii="Times New Roman" w:hAnsi="Times New Roman" w:cs="Times New Roman"/>
          <w:sz w:val="28"/>
          <w:szCs w:val="28"/>
        </w:rPr>
        <w:t>счита</w:t>
      </w:r>
      <w:r w:rsidR="00AE1756" w:rsidRPr="00AE1756">
        <w:rPr>
          <w:rFonts w:ascii="Times New Roman" w:hAnsi="Times New Roman" w:cs="Times New Roman"/>
          <w:sz w:val="28"/>
          <w:szCs w:val="28"/>
        </w:rPr>
        <w:t>ть утратившим силу</w:t>
      </w:r>
      <w:r w:rsidRPr="00AE1756">
        <w:rPr>
          <w:rFonts w:ascii="Times New Roman" w:hAnsi="Times New Roman" w:cs="Times New Roman"/>
          <w:sz w:val="28"/>
          <w:szCs w:val="28"/>
        </w:rPr>
        <w:t>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56">
        <w:rPr>
          <w:rFonts w:ascii="Times New Roman" w:hAnsi="Times New Roman" w:cs="Times New Roman"/>
          <w:sz w:val="28"/>
          <w:szCs w:val="28"/>
        </w:rPr>
        <w:t>Старомусинский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56" w:rsidRPr="00AE1756">
        <w:rPr>
          <w:rFonts w:ascii="Times New Roman" w:hAnsi="Times New Roman" w:cs="Times New Roman"/>
          <w:sz w:val="28"/>
          <w:szCs w:val="28"/>
        </w:rPr>
        <w:t>http://staromusino.ru/</w:t>
      </w:r>
      <w:r w:rsidRPr="00472797">
        <w:rPr>
          <w:rFonts w:ascii="Times New Roman" w:hAnsi="Times New Roman" w:cs="Times New Roman"/>
          <w:sz w:val="28"/>
          <w:szCs w:val="28"/>
        </w:rPr>
        <w:t>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175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756">
        <w:rPr>
          <w:rFonts w:ascii="Times New Roman" w:hAnsi="Times New Roman" w:cs="Times New Roman"/>
          <w:sz w:val="28"/>
          <w:szCs w:val="28"/>
          <w:lang w:eastAsia="ru-RU"/>
        </w:rPr>
        <w:t>А.Р.Саяпов</w:t>
      </w:r>
      <w:proofErr w:type="spellEnd"/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4D4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64D4" w:rsidRPr="00472797" w:rsidRDefault="003F6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702B44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702B44" w:rsidP="00702B44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702B4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« 16» января 2018 года № 4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702B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02B44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 w:rsidR="00702B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B44" w:rsidRPr="00702B44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02B44" w:rsidRPr="00702B44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2B44" w:rsidRPr="00702B44">
        <w:rPr>
          <w:sz w:val="28"/>
          <w:szCs w:val="28"/>
        </w:rPr>
        <w:t xml:space="preserve"> </w:t>
      </w:r>
      <w:r w:rsidR="00702B44" w:rsidRPr="00702B4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702B44" w:rsidRPr="00702B4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02B44" w:rsidRPr="00702B4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702B44"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  <w:r w:rsidR="00702B44">
        <w:rPr>
          <w:rFonts w:ascii="Times New Roman" w:hAnsi="Times New Roman" w:cs="Times New Roman"/>
          <w:sz w:val="28"/>
          <w:szCs w:val="28"/>
        </w:rPr>
        <w:t>, ул. Школьная, д. 4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2B44" w:rsidRDefault="005B7BD0" w:rsidP="00702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702B44" w:rsidRPr="00702B44" w:rsidRDefault="00702B44" w:rsidP="00702B44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B44" w:rsidRPr="00702B44" w:rsidRDefault="00702B44" w:rsidP="00702B44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B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702B44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70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B44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702B44" w:rsidTr="00534870">
        <w:tc>
          <w:tcPr>
            <w:tcW w:w="4785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09.00 -17.00</w:t>
            </w:r>
          </w:p>
        </w:tc>
      </w:tr>
    </w:tbl>
    <w:p w:rsidR="00702B44" w:rsidRPr="00702B44" w:rsidRDefault="00702B44" w:rsidP="00702B44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B44">
        <w:rPr>
          <w:rFonts w:ascii="Times New Roman" w:hAnsi="Times New Roman" w:cs="Times New Roman"/>
          <w:sz w:val="28"/>
          <w:szCs w:val="28"/>
        </w:rPr>
        <w:t xml:space="preserve">Выдача готовых документов: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702B44" w:rsidTr="00534870">
        <w:tc>
          <w:tcPr>
            <w:tcW w:w="4785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09.00 – 17.00</w:t>
            </w:r>
          </w:p>
        </w:tc>
      </w:tr>
    </w:tbl>
    <w:p w:rsidR="005B7BD0" w:rsidRPr="005B7BD0" w:rsidRDefault="005B7BD0" w:rsidP="00702B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Интернет: </w:t>
      </w:r>
      <w:r w:rsidR="00DF59E2" w:rsidRPr="00DF59E2">
        <w:rPr>
          <w:rFonts w:ascii="Times New Roman" w:hAnsi="Times New Roman" w:cs="Times New Roman"/>
          <w:sz w:val="28"/>
          <w:szCs w:val="28"/>
          <w:lang w:eastAsia="ru-RU"/>
        </w:rPr>
        <w:t>http://staromusino.ru/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>http://www.gosuslugi.ru в разделе "Каталог услуг", "Администрация сельского поселения</w:t>
      </w:r>
      <w:r w:rsidR="00DF59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59E2">
        <w:rPr>
          <w:rFonts w:ascii="Times New Roman" w:hAnsi="Times New Roman" w:cs="Times New Roman"/>
          <w:sz w:val="28"/>
        </w:rPr>
        <w:t>Старомусинский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сельсовет </w:t>
      </w:r>
      <w:r w:rsidR="00DF59E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F59E2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</w:t>
      </w:r>
      <w:r w:rsidR="00DF59E2" w:rsidRPr="00947486">
        <w:rPr>
          <w:rFonts w:ascii="Times New Roman" w:hAnsi="Times New Roman" w:cs="Times New Roman"/>
          <w:sz w:val="28"/>
        </w:rPr>
        <w:t>"Администрация сельского поселения</w:t>
      </w:r>
      <w:r w:rsidR="00DF59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59E2">
        <w:rPr>
          <w:rFonts w:ascii="Times New Roman" w:hAnsi="Times New Roman" w:cs="Times New Roman"/>
          <w:sz w:val="28"/>
        </w:rPr>
        <w:t>Старомусинский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</w:t>
      </w:r>
      <w:r w:rsidR="00DF59E2" w:rsidRPr="00947486">
        <w:rPr>
          <w:rFonts w:ascii="Times New Roman" w:hAnsi="Times New Roman" w:cs="Times New Roman"/>
          <w:sz w:val="28"/>
        </w:rPr>
        <w:t xml:space="preserve">сельсовет </w:t>
      </w:r>
      <w:r w:rsidR="00DF59E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F59E2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34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870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491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(Ведомости Государственного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491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1714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http://staromusino.ru/);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71491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(http://staromusino.ru/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нистрации решений осуществляет Главой сельского поселения</w:t>
      </w:r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522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CF4FF8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5.2 Жалоба может быть принята при личном приеме заявителя должностными лицами Администрации, РГАУ МФЦ или направлена по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522" w:rsidRPr="00D1452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14522" w:rsidRPr="00D145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14522" w:rsidRPr="00D1452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D14522" w:rsidRPr="00D14522"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  <w:r w:rsidR="00D14522" w:rsidRPr="00D14522">
        <w:rPr>
          <w:rFonts w:ascii="Times New Roman" w:hAnsi="Times New Roman" w:cs="Times New Roman"/>
          <w:sz w:val="28"/>
          <w:szCs w:val="28"/>
        </w:rPr>
        <w:t>, ул. Школьная, д. 4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3C1F">
        <w:rPr>
          <w:rFonts w:ascii="Times New Roman" w:hAnsi="Times New Roman" w:cs="Times New Roman"/>
          <w:sz w:val="28"/>
          <w:szCs w:val="28"/>
          <w:lang w:eastAsia="ru-RU"/>
        </w:rPr>
        <w:t>Р.С.Кунакаева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113C1F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BD0" w:rsidRP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селения</w:t>
      </w:r>
      <w:r w:rsidR="00113C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3C1F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B7BD0" w:rsidRPr="005B7BD0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Саяпову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А.Р.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5F28AF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Pr="005B7BD0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F28AF" w:rsidRPr="005B7BD0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Саяпову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А.Р.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F28AF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5F2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FE1C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селения</w:t>
      </w:r>
      <w:r w:rsidR="00FE1C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1C8D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23C" wp14:editId="05777E6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870" w:rsidRPr="003659B3" w:rsidRDefault="00534870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534870" w:rsidRPr="003659B3" w:rsidRDefault="00534870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37F5FA" wp14:editId="01E44E2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7825" wp14:editId="5D8BFEB4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870" w:rsidRPr="00FF1967" w:rsidRDefault="00534870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534870" w:rsidRPr="00FF1967" w:rsidRDefault="00534870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395F" wp14:editId="3620E6A0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5E4B" wp14:editId="51FA38BD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8E2B" wp14:editId="77DDC37C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D92C92" w:rsidRDefault="00534870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534870" w:rsidRPr="00D92C92" w:rsidRDefault="00534870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17146" wp14:editId="79833C4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56A8A" wp14:editId="53450001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718104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104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Default="00534870" w:rsidP="00910C6A">
                            <w:pPr>
                              <w:jc w:val="center"/>
                            </w:pP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534870" w:rsidRDefault="00534870" w:rsidP="00910C6A">
                      <w:pPr>
                        <w:jc w:val="center"/>
                      </w:pPr>
                    </w:p>
                    <w:p w:rsidR="00534870" w:rsidRPr="00D92C92" w:rsidRDefault="00534870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3CCAB" wp14:editId="018FAEF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D92C92" w:rsidRDefault="00534870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534870" w:rsidRPr="00D92C92" w:rsidRDefault="00534870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E4D9" wp14:editId="21B0108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08A0" wp14:editId="1D35DBD0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3E6D71" wp14:editId="13F94858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FF51FC" w:rsidRDefault="00534870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534870" w:rsidRPr="00FF51FC" w:rsidRDefault="00534870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90599" wp14:editId="3B38B02D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B6FEA" wp14:editId="7F911502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FE5FC" wp14:editId="5786E2EA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Default="00534870" w:rsidP="00910C6A">
                            <w:pPr>
                              <w:jc w:val="center"/>
                            </w:pP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534870" w:rsidRDefault="0053487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534870" w:rsidRDefault="00534870" w:rsidP="00910C6A">
                      <w:pPr>
                        <w:jc w:val="center"/>
                      </w:pPr>
                    </w:p>
                    <w:p w:rsidR="00534870" w:rsidRPr="00D92C92" w:rsidRDefault="00534870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534870" w:rsidRDefault="0053487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C1A46" wp14:editId="0748E585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D92C92" w:rsidRDefault="00534870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534870" w:rsidRDefault="0053487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534870" w:rsidRPr="00D92C92" w:rsidRDefault="00534870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534870" w:rsidRDefault="0053487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9DCFC" wp14:editId="33BF75D5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6350" r="1206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Default="00534870" w:rsidP="00910C6A">
                            <w:pPr>
                              <w:jc w:val="center"/>
                            </w:pP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534870" w:rsidRDefault="00534870" w:rsidP="00910C6A">
                      <w:pPr>
                        <w:jc w:val="center"/>
                      </w:pPr>
                    </w:p>
                    <w:p w:rsidR="00534870" w:rsidRPr="00D92C92" w:rsidRDefault="00534870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534870" w:rsidRPr="00D92C92" w:rsidRDefault="00534870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82E64" wp14:editId="61B88D24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7D9E" wp14:editId="53DEBA37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D92C92" w:rsidRDefault="00534870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534870" w:rsidRPr="00D92C92" w:rsidRDefault="00534870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534870" w:rsidRPr="00D92C92" w:rsidRDefault="00534870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AA314" wp14:editId="216F083D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BDB0F" wp14:editId="652FB28D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1BED6" wp14:editId="7C62FBFE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40D2" wp14:editId="1345BABE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Default="00534870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534870" w:rsidRPr="00D92C92" w:rsidRDefault="00534870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534870" w:rsidRDefault="0053487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534870" w:rsidRDefault="00534870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534870" w:rsidRPr="00D92C92" w:rsidRDefault="00534870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534870" w:rsidRDefault="0053487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9C7A3" wp14:editId="790CB664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70" w:rsidRPr="00D92C92" w:rsidRDefault="00534870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534870" w:rsidRPr="00D92C92" w:rsidRDefault="00534870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FE1C8D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96312"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113C1F"/>
    <w:rsid w:val="00171491"/>
    <w:rsid w:val="00275814"/>
    <w:rsid w:val="002F6A6E"/>
    <w:rsid w:val="00360B98"/>
    <w:rsid w:val="003E217F"/>
    <w:rsid w:val="003F64D4"/>
    <w:rsid w:val="00445EE8"/>
    <w:rsid w:val="00501465"/>
    <w:rsid w:val="00534870"/>
    <w:rsid w:val="005B7BD0"/>
    <w:rsid w:val="005D20DD"/>
    <w:rsid w:val="005F28AF"/>
    <w:rsid w:val="00652D31"/>
    <w:rsid w:val="00656F4E"/>
    <w:rsid w:val="00702B44"/>
    <w:rsid w:val="00797130"/>
    <w:rsid w:val="007B0842"/>
    <w:rsid w:val="008F1EAE"/>
    <w:rsid w:val="00910C6A"/>
    <w:rsid w:val="00947486"/>
    <w:rsid w:val="009A247E"/>
    <w:rsid w:val="00A7107C"/>
    <w:rsid w:val="00AE1756"/>
    <w:rsid w:val="00B96312"/>
    <w:rsid w:val="00B974B6"/>
    <w:rsid w:val="00C818A6"/>
    <w:rsid w:val="00CD5F55"/>
    <w:rsid w:val="00CF4FF8"/>
    <w:rsid w:val="00D14522"/>
    <w:rsid w:val="00D174D4"/>
    <w:rsid w:val="00D73461"/>
    <w:rsid w:val="00DF59E2"/>
    <w:rsid w:val="00E827E8"/>
    <w:rsid w:val="00E939D5"/>
    <w:rsid w:val="00F73AE6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13961</Words>
  <Characters>79580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ud</cp:lastModifiedBy>
  <cp:revision>2</cp:revision>
  <cp:lastPrinted>2018-01-18T05:13:00Z</cp:lastPrinted>
  <dcterms:created xsi:type="dcterms:W3CDTF">2018-01-18T05:16:00Z</dcterms:created>
  <dcterms:modified xsi:type="dcterms:W3CDTF">2018-01-18T05:16:00Z</dcterms:modified>
</cp:coreProperties>
</file>